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C9" w:rsidRPr="00F62C45" w:rsidRDefault="00B57EC9" w:rsidP="00B57EC9">
      <w:pPr>
        <w:jc w:val="center"/>
        <w:rPr>
          <w:b/>
          <w:u w:val="single"/>
        </w:rPr>
      </w:pPr>
      <w:r w:rsidRPr="00F62C45">
        <w:rPr>
          <w:b/>
          <w:u w:val="single"/>
        </w:rPr>
        <w:t xml:space="preserve">PROCEDURA </w:t>
      </w:r>
      <w:r>
        <w:rPr>
          <w:b/>
          <w:u w:val="single"/>
        </w:rPr>
        <w:t xml:space="preserve"> ZGŁOSZENIA</w:t>
      </w:r>
      <w:r w:rsidRPr="00F62C45">
        <w:rPr>
          <w:b/>
          <w:u w:val="single"/>
        </w:rPr>
        <w:t xml:space="preserve"> </w:t>
      </w:r>
      <w:r w:rsidR="001843B2">
        <w:rPr>
          <w:b/>
          <w:u w:val="single"/>
        </w:rPr>
        <w:t>DO NAPRAWY</w:t>
      </w:r>
      <w:r w:rsidRPr="00F62C45">
        <w:rPr>
          <w:b/>
          <w:u w:val="single"/>
        </w:rPr>
        <w:t xml:space="preserve"> </w:t>
      </w:r>
      <w:r w:rsidR="001843B2">
        <w:rPr>
          <w:b/>
          <w:u w:val="single"/>
        </w:rPr>
        <w:t xml:space="preserve">GWARANCYJNEJ </w:t>
      </w:r>
      <w:r w:rsidRPr="00F62C45">
        <w:rPr>
          <w:b/>
          <w:u w:val="single"/>
        </w:rPr>
        <w:t>SPRZĘTU ELEKT</w:t>
      </w:r>
      <w:r w:rsidR="00E01447">
        <w:rPr>
          <w:b/>
          <w:u w:val="single"/>
        </w:rPr>
        <w:t>R</w:t>
      </w:r>
      <w:r w:rsidRPr="00F62C45">
        <w:rPr>
          <w:b/>
          <w:u w:val="single"/>
        </w:rPr>
        <w:t>ONICZNEGO</w:t>
      </w:r>
      <w:r w:rsidR="0034185F">
        <w:rPr>
          <w:b/>
          <w:u w:val="single"/>
        </w:rPr>
        <w:t xml:space="preserve"> DOSTARCZONEGO PRZEZ FIRMĘ </w:t>
      </w:r>
      <w:r w:rsidR="00BB6E2D">
        <w:rPr>
          <w:b/>
          <w:u w:val="single"/>
        </w:rPr>
        <w:t>ZSK Sp. z o.o.</w:t>
      </w:r>
      <w:r w:rsidR="0034185F">
        <w:rPr>
          <w:b/>
          <w:u w:val="single"/>
        </w:rPr>
        <w:t xml:space="preserve"> </w:t>
      </w:r>
    </w:p>
    <w:p w:rsidR="00B57EC9" w:rsidRPr="006B5544" w:rsidRDefault="00B57EC9" w:rsidP="00611796">
      <w:pPr>
        <w:pStyle w:val="Akapitzlist"/>
        <w:numPr>
          <w:ilvl w:val="0"/>
          <w:numId w:val="1"/>
        </w:numPr>
      </w:pPr>
      <w:r w:rsidRPr="006B5544">
        <w:t>Definicje</w:t>
      </w:r>
    </w:p>
    <w:p w:rsidR="00B57EC9" w:rsidRPr="006B5544" w:rsidRDefault="00B57EC9" w:rsidP="00D256FC">
      <w:pPr>
        <w:pStyle w:val="Akapitzlist"/>
        <w:numPr>
          <w:ilvl w:val="0"/>
          <w:numId w:val="2"/>
        </w:numPr>
        <w:jc w:val="both"/>
      </w:pPr>
      <w:r w:rsidRPr="006B5544">
        <w:t xml:space="preserve">Kierownik jednostki organizacyjnej – osoba </w:t>
      </w:r>
      <w:r w:rsidR="00674001">
        <w:t>pełniąca funkcję kierowniczą m.in. w urzędzie miasta i gminy, urzędu miasta, urzędu gminy zgodnie z przepisami ustawy o rachunkowości, pod którym rozumi</w:t>
      </w:r>
      <w:r w:rsidR="005F7DD0">
        <w:t>e</w:t>
      </w:r>
      <w:r w:rsidR="00674001">
        <w:t xml:space="preserve"> się osobę lub organ jedno- lub wieloosobowy (zarząd), który - zgodnie z obowiązującymi jednostkę p</w:t>
      </w:r>
      <w:r w:rsidR="005F7DD0">
        <w:t>rzepisami prawa, statutem.</w:t>
      </w:r>
      <w:r w:rsidR="00674001">
        <w:t xml:space="preserve"> </w:t>
      </w:r>
    </w:p>
    <w:p w:rsidR="00B57EC9" w:rsidRDefault="00B57EC9" w:rsidP="00D256FC">
      <w:pPr>
        <w:pStyle w:val="Akapitzlist"/>
        <w:numPr>
          <w:ilvl w:val="0"/>
          <w:numId w:val="2"/>
        </w:numPr>
        <w:jc w:val="both"/>
      </w:pPr>
      <w:r w:rsidRPr="006B5544">
        <w:t xml:space="preserve">Sprzęt elektroniczny – należy przez to rozumieć wszystkie urządzenia elektroniczne przekazane jednostce organizacyjnej  w celu realizacji projektu </w:t>
      </w:r>
      <w:proofErr w:type="spellStart"/>
      <w:r w:rsidRPr="006B5544">
        <w:t>pl.ID</w:t>
      </w:r>
      <w:proofErr w:type="spellEnd"/>
      <w:r w:rsidRPr="006B5544">
        <w:t>.</w:t>
      </w:r>
    </w:p>
    <w:p w:rsidR="00DB720A" w:rsidRPr="006B5544" w:rsidRDefault="00DB720A" w:rsidP="00DB720A">
      <w:pPr>
        <w:pStyle w:val="Akapitzlist"/>
        <w:numPr>
          <w:ilvl w:val="0"/>
          <w:numId w:val="2"/>
        </w:numPr>
        <w:jc w:val="both"/>
      </w:pPr>
      <w:r w:rsidRPr="00DB720A">
        <w:t xml:space="preserve">Oprogramowanie Standardowe – oznacza oprogramowanie narzędziowe i systemowe powszechnie dostępne tj.  system operacyjny Microsoft Windows 7 Professional PL OEM, oprogramowanie antywirusowe </w:t>
      </w:r>
      <w:proofErr w:type="spellStart"/>
      <w:r w:rsidRPr="00DB720A">
        <w:t>G-DATA</w:t>
      </w:r>
      <w:proofErr w:type="spellEnd"/>
      <w:r w:rsidRPr="00DB720A">
        <w:t xml:space="preserve"> </w:t>
      </w:r>
      <w:proofErr w:type="spellStart"/>
      <w:r w:rsidRPr="00DB720A">
        <w:t>Antivirus</w:t>
      </w:r>
      <w:proofErr w:type="spellEnd"/>
      <w:r w:rsidRPr="00DB720A">
        <w:t xml:space="preserve"> 2011 OEM oraz sterowniki niezbędne do poprawnego działania urządzeń peryferyjnych instalowanych podczas dostawy.</w:t>
      </w:r>
    </w:p>
    <w:p w:rsidR="00B57EC9" w:rsidRPr="006B5544" w:rsidRDefault="00B57EC9" w:rsidP="00D256FC">
      <w:pPr>
        <w:pStyle w:val="Akapitzlist"/>
        <w:numPr>
          <w:ilvl w:val="0"/>
          <w:numId w:val="2"/>
        </w:numPr>
        <w:jc w:val="both"/>
      </w:pPr>
      <w:r w:rsidRPr="006B5544">
        <w:t xml:space="preserve">Jednostka organizacyjna –  należy przez to rozumieć  </w:t>
      </w:r>
      <w:r w:rsidR="00674001" w:rsidRPr="006B5544">
        <w:t>urząd</w:t>
      </w:r>
      <w:r w:rsidRPr="006B5544">
        <w:t xml:space="preserve"> miasta i gminy, </w:t>
      </w:r>
      <w:r w:rsidR="00674001" w:rsidRPr="006B5544">
        <w:t>urząd</w:t>
      </w:r>
      <w:r w:rsidRPr="006B5544">
        <w:t xml:space="preserve"> miasta, </w:t>
      </w:r>
      <w:r w:rsidR="00D256FC">
        <w:t>urząd gminy, który otrzymał</w:t>
      </w:r>
      <w:r w:rsidRPr="006B5544">
        <w:t xml:space="preserve"> sprzęt elektroniczny w ramach realizowanego projektu </w:t>
      </w:r>
      <w:proofErr w:type="spellStart"/>
      <w:r w:rsidRPr="006B5544">
        <w:t>pl.ID</w:t>
      </w:r>
      <w:proofErr w:type="spellEnd"/>
      <w:r w:rsidRPr="006B5544">
        <w:t xml:space="preserve"> </w:t>
      </w:r>
    </w:p>
    <w:p w:rsidR="00B57EC9" w:rsidRDefault="00B57EC9" w:rsidP="00D256FC">
      <w:pPr>
        <w:pStyle w:val="Akapitzlist"/>
        <w:numPr>
          <w:ilvl w:val="0"/>
          <w:numId w:val="2"/>
        </w:numPr>
        <w:jc w:val="both"/>
      </w:pPr>
      <w:r w:rsidRPr="006B5544">
        <w:t>Osoba upoważniona w CPI – os</w:t>
      </w:r>
      <w:r w:rsidR="00D256FC">
        <w:t>oba upoważniona do kontaktów  z </w:t>
      </w:r>
      <w:r w:rsidRPr="006B5544">
        <w:t xml:space="preserve">Koordynatorami  ds. wdrożenia w gminie aplikacji ZMOKU oraz z przedstawicielem </w:t>
      </w:r>
      <w:r w:rsidR="00611796">
        <w:t>serwisu</w:t>
      </w:r>
      <w:r w:rsidR="00D256FC">
        <w:t>.</w:t>
      </w:r>
    </w:p>
    <w:p w:rsidR="00C14B6D" w:rsidRDefault="00611796" w:rsidP="00D256FC">
      <w:pPr>
        <w:pStyle w:val="Akapitzlist"/>
        <w:numPr>
          <w:ilvl w:val="0"/>
          <w:numId w:val="2"/>
        </w:numPr>
        <w:jc w:val="both"/>
      </w:pPr>
      <w:r w:rsidRPr="00471229">
        <w:t xml:space="preserve">Przedstawiciel serwisu – </w:t>
      </w:r>
      <w:r w:rsidR="00C14B6D" w:rsidRPr="00471229">
        <w:t xml:space="preserve">osoba upoważniona przez wykonawcę do </w:t>
      </w:r>
      <w:r w:rsidRPr="00471229">
        <w:t xml:space="preserve">wykonania czynności związanych z realizacją  </w:t>
      </w:r>
      <w:r w:rsidR="00471229">
        <w:t>naprawy gwarancyjnej.</w:t>
      </w:r>
      <w:r w:rsidR="00C14B6D" w:rsidRPr="00471229">
        <w:t xml:space="preserve"> </w:t>
      </w:r>
    </w:p>
    <w:p w:rsidR="00CE5950" w:rsidRPr="00457862" w:rsidRDefault="00CE5950" w:rsidP="00457862">
      <w:pPr>
        <w:pStyle w:val="Akapitzlist"/>
        <w:numPr>
          <w:ilvl w:val="0"/>
          <w:numId w:val="2"/>
        </w:numPr>
        <w:jc w:val="both"/>
      </w:pPr>
      <w:r>
        <w:t xml:space="preserve">Adres korespondencyjny – </w:t>
      </w:r>
      <w:r w:rsidRPr="00895429">
        <w:t>CE</w:t>
      </w:r>
      <w:r w:rsidR="007C1DD2">
        <w:t>NTRUM PROJEKTÓW INFORMATYCZNYCH</w:t>
      </w:r>
      <w:r w:rsidRPr="00895429">
        <w:t>, ul. Pileckiego 63, 02-781 Warszawa</w:t>
      </w:r>
    </w:p>
    <w:p w:rsidR="00611796" w:rsidRPr="00611796" w:rsidRDefault="00611796" w:rsidP="00611796">
      <w:pPr>
        <w:pStyle w:val="Nagwek2"/>
        <w:numPr>
          <w:ilvl w:val="0"/>
          <w:numId w:val="1"/>
        </w:numPr>
        <w:spacing w:before="120" w:line="276" w:lineRule="auto"/>
        <w:rPr>
          <w:rFonts w:asciiTheme="minorHAnsi" w:hAnsiTheme="minorHAnsi" w:cs="Calibri"/>
          <w:b w:val="0"/>
          <w:bCs w:val="0"/>
          <w:sz w:val="22"/>
          <w:szCs w:val="22"/>
        </w:rPr>
      </w:pPr>
      <w:r>
        <w:rPr>
          <w:rFonts w:asciiTheme="minorHAnsi" w:hAnsiTheme="minorHAnsi" w:cs="Calibri"/>
          <w:b w:val="0"/>
          <w:bCs w:val="0"/>
          <w:sz w:val="22"/>
          <w:szCs w:val="22"/>
        </w:rPr>
        <w:t>Na podstawie zawartych umów z dostawcami sprzętu</w:t>
      </w:r>
      <w:r w:rsidR="005D6B10">
        <w:rPr>
          <w:rFonts w:asciiTheme="minorHAnsi" w:hAnsiTheme="minorHAnsi" w:cs="Calibri"/>
          <w:b w:val="0"/>
          <w:bCs w:val="0"/>
          <w:sz w:val="22"/>
          <w:szCs w:val="22"/>
        </w:rPr>
        <w:t xml:space="preserve"> elektronicznego</w:t>
      </w:r>
      <w:r>
        <w:rPr>
          <w:rFonts w:asciiTheme="minorHAnsi" w:hAnsiTheme="minorHAnsi" w:cs="Calibri"/>
          <w:b w:val="0"/>
          <w:bCs w:val="0"/>
          <w:sz w:val="22"/>
          <w:szCs w:val="22"/>
        </w:rPr>
        <w:t xml:space="preserve"> </w:t>
      </w:r>
      <w:r w:rsidR="004E5B3C">
        <w:rPr>
          <w:rFonts w:asciiTheme="minorHAnsi" w:hAnsiTheme="minorHAnsi" w:cs="Calibri"/>
          <w:b w:val="0"/>
          <w:bCs w:val="0"/>
          <w:sz w:val="22"/>
          <w:szCs w:val="22"/>
        </w:rPr>
        <w:t>J</w:t>
      </w:r>
      <w:r>
        <w:rPr>
          <w:rFonts w:asciiTheme="minorHAnsi" w:hAnsiTheme="minorHAnsi" w:cs="Calibri"/>
          <w:b w:val="0"/>
          <w:bCs w:val="0"/>
          <w:sz w:val="22"/>
          <w:szCs w:val="22"/>
        </w:rPr>
        <w:t xml:space="preserve">ednostki </w:t>
      </w:r>
      <w:r w:rsidR="004E5B3C">
        <w:rPr>
          <w:rFonts w:asciiTheme="minorHAnsi" w:hAnsiTheme="minorHAnsi" w:cs="Calibri"/>
          <w:b w:val="0"/>
          <w:bCs w:val="0"/>
          <w:sz w:val="22"/>
          <w:szCs w:val="22"/>
        </w:rPr>
        <w:t>O</w:t>
      </w:r>
      <w:r>
        <w:rPr>
          <w:rFonts w:asciiTheme="minorHAnsi" w:hAnsiTheme="minorHAnsi" w:cs="Calibri"/>
          <w:b w:val="0"/>
          <w:bCs w:val="0"/>
          <w:sz w:val="22"/>
          <w:szCs w:val="22"/>
        </w:rPr>
        <w:t xml:space="preserve">rganizacyjne </w:t>
      </w:r>
      <w:r w:rsidR="00471229">
        <w:rPr>
          <w:rFonts w:asciiTheme="minorHAnsi" w:hAnsiTheme="minorHAnsi" w:cs="Calibri"/>
          <w:b w:val="0"/>
          <w:bCs w:val="0"/>
          <w:sz w:val="22"/>
          <w:szCs w:val="22"/>
        </w:rPr>
        <w:t xml:space="preserve">jako użytkownicy </w:t>
      </w:r>
      <w:r>
        <w:rPr>
          <w:rFonts w:asciiTheme="minorHAnsi" w:hAnsiTheme="minorHAnsi" w:cs="Calibri"/>
          <w:b w:val="0"/>
          <w:bCs w:val="0"/>
          <w:sz w:val="22"/>
          <w:szCs w:val="22"/>
        </w:rPr>
        <w:t>mają prawo</w:t>
      </w:r>
      <w:r w:rsidR="00471229">
        <w:rPr>
          <w:rFonts w:asciiTheme="minorHAnsi" w:hAnsiTheme="minorHAnsi" w:cs="Calibri"/>
          <w:b w:val="0"/>
          <w:bCs w:val="0"/>
          <w:sz w:val="22"/>
          <w:szCs w:val="22"/>
        </w:rPr>
        <w:t xml:space="preserve"> do </w:t>
      </w:r>
      <w:r>
        <w:rPr>
          <w:rFonts w:asciiTheme="minorHAnsi" w:hAnsiTheme="minorHAnsi" w:cs="Calibri"/>
          <w:b w:val="0"/>
          <w:bCs w:val="0"/>
          <w:sz w:val="22"/>
          <w:szCs w:val="22"/>
        </w:rPr>
        <w:t xml:space="preserve"> g</w:t>
      </w:r>
      <w:r w:rsidR="00483E8E" w:rsidRPr="00483E8E">
        <w:rPr>
          <w:rFonts w:asciiTheme="minorHAnsi" w:hAnsiTheme="minorHAnsi" w:cs="Calibri"/>
          <w:b w:val="0"/>
          <w:bCs w:val="0"/>
          <w:sz w:val="22"/>
          <w:szCs w:val="22"/>
        </w:rPr>
        <w:t>warancja jakości</w:t>
      </w:r>
      <w:r w:rsidR="00471229">
        <w:rPr>
          <w:rFonts w:asciiTheme="minorHAnsi" w:hAnsiTheme="minorHAnsi" w:cs="Calibri"/>
          <w:b w:val="0"/>
          <w:bCs w:val="0"/>
          <w:sz w:val="22"/>
          <w:szCs w:val="22"/>
        </w:rPr>
        <w:t xml:space="preserve"> z tytułu użytkowanego </w:t>
      </w:r>
      <w:r w:rsidR="005D6B10">
        <w:rPr>
          <w:rFonts w:asciiTheme="minorHAnsi" w:hAnsiTheme="minorHAnsi" w:cs="Calibri"/>
          <w:b w:val="0"/>
          <w:bCs w:val="0"/>
          <w:sz w:val="22"/>
          <w:szCs w:val="22"/>
        </w:rPr>
        <w:t xml:space="preserve">ww. </w:t>
      </w:r>
      <w:r w:rsidR="00471229">
        <w:rPr>
          <w:rFonts w:asciiTheme="minorHAnsi" w:hAnsiTheme="minorHAnsi" w:cs="Calibri"/>
          <w:b w:val="0"/>
          <w:bCs w:val="0"/>
          <w:sz w:val="22"/>
          <w:szCs w:val="22"/>
        </w:rPr>
        <w:t xml:space="preserve">sprzętu w ramach realizowanego projektu </w:t>
      </w:r>
      <w:proofErr w:type="spellStart"/>
      <w:r w:rsidR="00471229">
        <w:rPr>
          <w:rFonts w:asciiTheme="minorHAnsi" w:hAnsiTheme="minorHAnsi" w:cs="Calibri"/>
          <w:b w:val="0"/>
          <w:bCs w:val="0"/>
          <w:sz w:val="22"/>
          <w:szCs w:val="22"/>
        </w:rPr>
        <w:t>pl.ID</w:t>
      </w:r>
      <w:proofErr w:type="spellEnd"/>
      <w:r w:rsidR="00471229">
        <w:rPr>
          <w:rFonts w:asciiTheme="minorHAnsi" w:hAnsiTheme="minorHAnsi" w:cs="Calibri"/>
          <w:b w:val="0"/>
          <w:bCs w:val="0"/>
          <w:sz w:val="22"/>
          <w:szCs w:val="22"/>
        </w:rPr>
        <w:t xml:space="preserve"> </w:t>
      </w:r>
      <w:r w:rsidR="00D256FC">
        <w:rPr>
          <w:rFonts w:asciiTheme="minorHAnsi" w:hAnsiTheme="minorHAnsi" w:cs="Calibri"/>
          <w:b w:val="0"/>
          <w:bCs w:val="0"/>
          <w:sz w:val="22"/>
          <w:szCs w:val="22"/>
        </w:rPr>
        <w:t xml:space="preserve"> </w:t>
      </w:r>
      <w:r w:rsidR="00471229">
        <w:rPr>
          <w:rFonts w:asciiTheme="minorHAnsi" w:hAnsiTheme="minorHAnsi" w:cs="Calibri"/>
          <w:b w:val="0"/>
          <w:bCs w:val="0"/>
          <w:sz w:val="22"/>
          <w:szCs w:val="22"/>
        </w:rPr>
        <w:t xml:space="preserve">zgodnie z niżej wymienionymi </w:t>
      </w:r>
      <w:r w:rsidR="005D6B10">
        <w:rPr>
          <w:rFonts w:asciiTheme="minorHAnsi" w:hAnsiTheme="minorHAnsi" w:cs="Calibri"/>
          <w:b w:val="0"/>
          <w:bCs w:val="0"/>
          <w:sz w:val="22"/>
          <w:szCs w:val="22"/>
        </w:rPr>
        <w:t>punktami</w:t>
      </w:r>
      <w:r w:rsidR="00471229">
        <w:rPr>
          <w:rFonts w:asciiTheme="minorHAnsi" w:hAnsiTheme="minorHAnsi" w:cs="Calibri"/>
          <w:b w:val="0"/>
          <w:bCs w:val="0"/>
          <w:sz w:val="22"/>
          <w:szCs w:val="22"/>
        </w:rPr>
        <w:t>:</w:t>
      </w:r>
    </w:p>
    <w:p w:rsidR="00483E8E" w:rsidRPr="00611796" w:rsidRDefault="00483E8E" w:rsidP="00611796">
      <w:pPr>
        <w:pStyle w:val="Akapitzlist"/>
        <w:numPr>
          <w:ilvl w:val="0"/>
          <w:numId w:val="4"/>
        </w:numPr>
        <w:tabs>
          <w:tab w:val="clear" w:pos="750"/>
          <w:tab w:val="num" w:pos="1134"/>
        </w:tabs>
        <w:spacing w:after="0"/>
        <w:ind w:left="1135" w:hanging="284"/>
        <w:jc w:val="both"/>
        <w:rPr>
          <w:rFonts w:cs="Calibri"/>
        </w:rPr>
      </w:pPr>
      <w:r w:rsidRPr="00611796">
        <w:rPr>
          <w:rFonts w:cs="Calibri"/>
        </w:rPr>
        <w:t xml:space="preserve">Wykonawca udziela </w:t>
      </w:r>
      <w:r w:rsidRPr="00611796">
        <w:rPr>
          <w:rFonts w:cs="Calibri"/>
          <w:bCs/>
        </w:rPr>
        <w:t>trzyletniej gwarancji jakości</w:t>
      </w:r>
      <w:r w:rsidRPr="00611796">
        <w:rPr>
          <w:rFonts w:cs="Calibri"/>
          <w:b/>
          <w:bCs/>
        </w:rPr>
        <w:t xml:space="preserve"> </w:t>
      </w:r>
      <w:r w:rsidRPr="00611796">
        <w:rPr>
          <w:rFonts w:cs="Calibri"/>
        </w:rPr>
        <w:t xml:space="preserve">na Urządzenia. </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Termin gwarancji liczy się każdorazowo od daty podpisania</w:t>
      </w:r>
      <w:r w:rsidR="00D256FC">
        <w:rPr>
          <w:rFonts w:cs="Calibri"/>
        </w:rPr>
        <w:t xml:space="preserve"> </w:t>
      </w:r>
      <w:r w:rsidR="00D256FC" w:rsidRPr="008F6605">
        <w:rPr>
          <w:rFonts w:cs="Calibri"/>
        </w:rPr>
        <w:t>bez uwag</w:t>
      </w:r>
      <w:r w:rsidR="00D256FC">
        <w:rPr>
          <w:rFonts w:cs="Calibri"/>
        </w:rPr>
        <w:t xml:space="preserve"> przez jednostkę organizacyjną</w:t>
      </w:r>
      <w:r w:rsidRPr="008F6605">
        <w:rPr>
          <w:rFonts w:cs="Calibri"/>
        </w:rPr>
        <w:t xml:space="preserve"> </w:t>
      </w:r>
      <w:r w:rsidRPr="008F6605">
        <w:rPr>
          <w:rFonts w:eastAsia="Times New Roman" w:cs="Calibri"/>
        </w:rPr>
        <w:t>Protokołu Odbioru Ilościowego i  Jakościowego Sprzętu oraz Oprogramowania</w:t>
      </w:r>
      <w:r w:rsidRPr="008F6605">
        <w:rPr>
          <w:rFonts w:cs="Calibri"/>
        </w:rPr>
        <w:t xml:space="preserve">. </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Gwarancja jakości na Oprogramowanie Standardowe </w:t>
      </w:r>
      <w:r w:rsidR="00D256FC">
        <w:rPr>
          <w:rFonts w:cs="Calibri"/>
        </w:rPr>
        <w:t xml:space="preserve">udzielona jest </w:t>
      </w:r>
      <w:r w:rsidRPr="008F6605">
        <w:rPr>
          <w:rFonts w:cs="Calibri"/>
        </w:rPr>
        <w:t xml:space="preserve">w maksymalnym wymiarze </w:t>
      </w:r>
      <w:r w:rsidR="00D256FC">
        <w:rPr>
          <w:rFonts w:cs="Calibri"/>
        </w:rPr>
        <w:t xml:space="preserve"> </w:t>
      </w:r>
      <w:r w:rsidRPr="008F6605">
        <w:rPr>
          <w:rFonts w:cs="Calibri"/>
        </w:rPr>
        <w:t>oferowanym przez producenta.</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Gwarancja jakości obejmuje wszelkie możliwe wady i uszkodzenia Urządzeń </w:t>
      </w:r>
      <w:r w:rsidRPr="008F6605">
        <w:rPr>
          <w:rFonts w:cs="Calibri"/>
        </w:rPr>
        <w:br/>
        <w:t>oraz Oprogramowania Standardowego (z wyjątkiem uszkodzeń zawinionych przez Zamawiającego).</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Zgłoszone przez Użytkowników przy odbiorze lub w okresie gwarancji wady Urządzeń, Wykonawca zobowiązany jest niezwłocznie usunąć, nie później jednak, niż w  terminie  3 dni od daty ich zgłoszenia przez Zamawiającego lub Użytkownika, chyba że Zamawiający wyrazi pisemną zgodę na inny technicznie uzasadniony termin. Wykonawca nie może odmówić usunięcia wad ze względu na wysokość związanych z tym kosztów.</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color w:val="000000"/>
        </w:rPr>
        <w:t xml:space="preserve">Wykonawca zapewni naprawę lub wymianę Urządzeń na wolne od wad i/lub uszkodzeń </w:t>
      </w:r>
      <w:r w:rsidRPr="008F6605">
        <w:rPr>
          <w:rFonts w:cs="Calibri"/>
          <w:color w:val="000000"/>
        </w:rPr>
        <w:br/>
        <w:t xml:space="preserve">w miejscu instalacji w godzinach  pracy Użytkowników. </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W ramach gwarancji jakości Wykonawca zapewni wykonywanie wszelkich obowiązkowych przeglądów technicznych Urządzeń zgodnie z wymogami producenta. </w:t>
      </w:r>
      <w:r w:rsidRPr="008F6605">
        <w:rPr>
          <w:rFonts w:cs="Calibri"/>
        </w:rPr>
        <w:lastRenderedPageBreak/>
        <w:t>Zamawiający i Użytkownik nie ponosi żadnych kosztów związanych z wykonaniem tych przeglądów.</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W wypadku jeżeli naprawa będzie trwała dłużej niż 3 dni, Wykonawca zobowiązany jest </w:t>
      </w:r>
    </w:p>
    <w:p w:rsidR="00483E8E" w:rsidRPr="008F6605" w:rsidRDefault="00483E8E" w:rsidP="00611796">
      <w:pPr>
        <w:tabs>
          <w:tab w:val="num" w:pos="1134"/>
        </w:tabs>
        <w:spacing w:after="0"/>
        <w:ind w:left="1135" w:hanging="1"/>
        <w:jc w:val="both"/>
        <w:rPr>
          <w:rFonts w:cs="Calibri"/>
        </w:rPr>
      </w:pPr>
      <w:r w:rsidRPr="008F6605">
        <w:rPr>
          <w:rFonts w:cs="Calibri"/>
        </w:rPr>
        <w:t>dostarczyć sprzęt zamienny o identycznych parametrach funkcjonalnych.</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Jeżeli naprawa będzie polegała na dostarczeniu sprzętu nowego to sprzęt ten musi mieć identyczne lub wyższe parametry funkcjonalne, a jego wymiana może nastąpić tylko w terminie, który wskaże </w:t>
      </w:r>
      <w:r w:rsidR="00587C6B">
        <w:rPr>
          <w:rFonts w:cs="Calibri"/>
        </w:rPr>
        <w:t>Użytkownik</w:t>
      </w:r>
      <w:r w:rsidRPr="008F6605">
        <w:rPr>
          <w:rFonts w:cs="Calibri"/>
        </w:rPr>
        <w:t xml:space="preserve">. </w:t>
      </w:r>
      <w:r w:rsidR="00CE0B76">
        <w:rPr>
          <w:rFonts w:cs="Calibri"/>
        </w:rPr>
        <w:t>Użytkownik</w:t>
      </w:r>
      <w:r w:rsidRPr="008F6605">
        <w:rPr>
          <w:rFonts w:cs="Calibri"/>
        </w:rPr>
        <w:t xml:space="preserve"> zastrzega prawo zachowania do swojej dyspozycji wszelkich nośników danych,  w szczególności twardych dysków.</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Wykonawca nie może odmówić wykonania żadnych czynno</w:t>
      </w:r>
      <w:r w:rsidR="00611796">
        <w:rPr>
          <w:rFonts w:cs="Calibri"/>
        </w:rPr>
        <w:t xml:space="preserve">ści objętych gwarancją jakości </w:t>
      </w:r>
      <w:r w:rsidRPr="008F6605">
        <w:rPr>
          <w:rFonts w:cs="Calibri"/>
        </w:rPr>
        <w:t>z uwagi na wysokość związanych z tym kosztów.</w:t>
      </w:r>
    </w:p>
    <w:p w:rsidR="00483E8E" w:rsidRDefault="00483E8E" w:rsidP="00611796">
      <w:pPr>
        <w:numPr>
          <w:ilvl w:val="0"/>
          <w:numId w:val="4"/>
        </w:numPr>
        <w:tabs>
          <w:tab w:val="clear" w:pos="750"/>
          <w:tab w:val="num" w:pos="1134"/>
        </w:tabs>
        <w:spacing w:after="0"/>
        <w:ind w:left="1135" w:hanging="284"/>
        <w:jc w:val="both"/>
        <w:rPr>
          <w:rFonts w:cs="Calibri"/>
          <w:color w:val="000000"/>
        </w:rPr>
      </w:pPr>
      <w:r w:rsidRPr="008F6605">
        <w:rPr>
          <w:rFonts w:cs="Calibri"/>
          <w:color w:val="000000"/>
        </w:rPr>
        <w:t xml:space="preserve">Uprawnionymi  do realizacji uprawnień z tytułu gwarancji i rękojmi  będą Zamawiający i  Użytkownicy w lokalizacjach wskazanych w </w:t>
      </w:r>
      <w:r w:rsidR="004E5B3C">
        <w:rPr>
          <w:rFonts w:cs="Calibri"/>
          <w:spacing w:val="-1"/>
        </w:rPr>
        <w:t>J</w:t>
      </w:r>
      <w:r w:rsidR="00611796">
        <w:rPr>
          <w:rFonts w:cs="Calibri"/>
          <w:spacing w:val="-1"/>
        </w:rPr>
        <w:t>ednostkach Organizacyjnych</w:t>
      </w:r>
      <w:r w:rsidR="004E5B3C">
        <w:rPr>
          <w:rFonts w:cs="Calibri"/>
          <w:spacing w:val="-1"/>
        </w:rPr>
        <w:t>.</w:t>
      </w:r>
    </w:p>
    <w:p w:rsidR="00471229" w:rsidRPr="00035951" w:rsidRDefault="00471229" w:rsidP="00CE0B76">
      <w:pPr>
        <w:spacing w:after="0"/>
        <w:ind w:left="1135"/>
        <w:jc w:val="both"/>
        <w:rPr>
          <w:rFonts w:cs="Calibri"/>
          <w:color w:val="000000"/>
          <w:sz w:val="10"/>
          <w:szCs w:val="10"/>
        </w:rPr>
      </w:pPr>
    </w:p>
    <w:p w:rsidR="00B57EC9" w:rsidRPr="006B5544" w:rsidRDefault="00B57EC9" w:rsidP="00611796">
      <w:pPr>
        <w:pStyle w:val="Akapitzlist"/>
        <w:numPr>
          <w:ilvl w:val="0"/>
          <w:numId w:val="1"/>
        </w:numPr>
      </w:pPr>
      <w:r w:rsidRPr="006B5544">
        <w:t xml:space="preserve">Postępowanie w przypadku wystąpienia  szkody w jednostce organizacyjnej realizującej projekt </w:t>
      </w:r>
      <w:proofErr w:type="spellStart"/>
      <w:r w:rsidRPr="006B5544">
        <w:t>pl.ID</w:t>
      </w:r>
      <w:proofErr w:type="spellEnd"/>
      <w:r w:rsidRPr="006B5544">
        <w:t xml:space="preserve"> :</w:t>
      </w:r>
    </w:p>
    <w:p w:rsidR="00B57EC9" w:rsidRPr="00035951" w:rsidRDefault="00B57EC9" w:rsidP="00611796">
      <w:pPr>
        <w:pStyle w:val="Akapitzlist"/>
        <w:rPr>
          <w:sz w:val="10"/>
          <w:szCs w:val="10"/>
        </w:rPr>
      </w:pPr>
    </w:p>
    <w:tbl>
      <w:tblPr>
        <w:tblStyle w:val="Tabela-Siatka"/>
        <w:tblW w:w="0" w:type="auto"/>
        <w:tblInd w:w="720" w:type="dxa"/>
        <w:tblLayout w:type="fixed"/>
        <w:tblLook w:val="04A0"/>
      </w:tblPr>
      <w:tblGrid>
        <w:gridCol w:w="522"/>
        <w:gridCol w:w="1560"/>
        <w:gridCol w:w="3543"/>
        <w:gridCol w:w="1418"/>
        <w:gridCol w:w="1524"/>
      </w:tblGrid>
      <w:tr w:rsidR="00B57EC9" w:rsidRPr="006B5544" w:rsidTr="00035951">
        <w:tc>
          <w:tcPr>
            <w:tcW w:w="522" w:type="dxa"/>
          </w:tcPr>
          <w:p w:rsidR="00B57EC9" w:rsidRPr="006B5544" w:rsidRDefault="00B57EC9" w:rsidP="00AC2C45">
            <w:pPr>
              <w:pStyle w:val="Akapitzlist"/>
              <w:ind w:left="0"/>
              <w:jc w:val="center"/>
              <w:rPr>
                <w:b/>
                <w:sz w:val="20"/>
                <w:szCs w:val="20"/>
              </w:rPr>
            </w:pPr>
            <w:r w:rsidRPr="006B5544">
              <w:rPr>
                <w:b/>
                <w:sz w:val="20"/>
                <w:szCs w:val="20"/>
              </w:rPr>
              <w:t>Lp.</w:t>
            </w:r>
          </w:p>
        </w:tc>
        <w:tc>
          <w:tcPr>
            <w:tcW w:w="1560" w:type="dxa"/>
          </w:tcPr>
          <w:p w:rsidR="00B57EC9" w:rsidRPr="006B5544" w:rsidRDefault="00B57EC9" w:rsidP="00AC2C45">
            <w:pPr>
              <w:pStyle w:val="Akapitzlist"/>
              <w:ind w:left="0"/>
              <w:jc w:val="center"/>
              <w:rPr>
                <w:b/>
                <w:sz w:val="20"/>
                <w:szCs w:val="20"/>
              </w:rPr>
            </w:pPr>
            <w:r w:rsidRPr="006B5544">
              <w:rPr>
                <w:b/>
                <w:sz w:val="20"/>
                <w:szCs w:val="20"/>
              </w:rPr>
              <w:t>Osoba wykonująca działanie</w:t>
            </w:r>
          </w:p>
        </w:tc>
        <w:tc>
          <w:tcPr>
            <w:tcW w:w="3543" w:type="dxa"/>
          </w:tcPr>
          <w:p w:rsidR="00B57EC9" w:rsidRPr="006B5544" w:rsidRDefault="00B57EC9" w:rsidP="00AC2C45">
            <w:pPr>
              <w:pStyle w:val="Akapitzlist"/>
              <w:ind w:left="0"/>
              <w:jc w:val="center"/>
              <w:rPr>
                <w:b/>
                <w:sz w:val="20"/>
                <w:szCs w:val="20"/>
              </w:rPr>
            </w:pPr>
            <w:r w:rsidRPr="006B5544">
              <w:rPr>
                <w:b/>
                <w:sz w:val="20"/>
                <w:szCs w:val="20"/>
              </w:rPr>
              <w:t>Działanie</w:t>
            </w:r>
          </w:p>
        </w:tc>
        <w:tc>
          <w:tcPr>
            <w:tcW w:w="1418" w:type="dxa"/>
          </w:tcPr>
          <w:p w:rsidR="00B57EC9" w:rsidRPr="006B5544" w:rsidRDefault="00B57EC9" w:rsidP="00AC2C45">
            <w:pPr>
              <w:pStyle w:val="Akapitzlist"/>
              <w:ind w:left="0"/>
              <w:jc w:val="center"/>
              <w:rPr>
                <w:b/>
                <w:sz w:val="20"/>
                <w:szCs w:val="20"/>
              </w:rPr>
            </w:pPr>
            <w:r w:rsidRPr="006B5544">
              <w:rPr>
                <w:b/>
                <w:sz w:val="20"/>
                <w:szCs w:val="20"/>
              </w:rPr>
              <w:t>Termin wykonania</w:t>
            </w:r>
          </w:p>
        </w:tc>
        <w:tc>
          <w:tcPr>
            <w:tcW w:w="1524" w:type="dxa"/>
          </w:tcPr>
          <w:p w:rsidR="00B57EC9" w:rsidRPr="006B5544" w:rsidRDefault="00B57EC9" w:rsidP="00AC2C45">
            <w:pPr>
              <w:pStyle w:val="Akapitzlist"/>
              <w:ind w:left="0"/>
              <w:jc w:val="center"/>
              <w:rPr>
                <w:b/>
                <w:sz w:val="20"/>
                <w:szCs w:val="20"/>
              </w:rPr>
            </w:pPr>
            <w:r w:rsidRPr="006B5544">
              <w:rPr>
                <w:b/>
                <w:sz w:val="20"/>
                <w:szCs w:val="20"/>
              </w:rPr>
              <w:t>Osoby powiązane</w:t>
            </w:r>
          </w:p>
        </w:tc>
      </w:tr>
      <w:tr w:rsidR="00BB6E2D" w:rsidRPr="00457862" w:rsidTr="00035951">
        <w:trPr>
          <w:trHeight w:val="2930"/>
        </w:trPr>
        <w:tc>
          <w:tcPr>
            <w:tcW w:w="522" w:type="dxa"/>
            <w:vMerge w:val="restart"/>
          </w:tcPr>
          <w:p w:rsidR="00BB6E2D" w:rsidRPr="00457862" w:rsidRDefault="00BB6E2D" w:rsidP="0060170C">
            <w:pPr>
              <w:pStyle w:val="Akapitzlist"/>
              <w:ind w:left="0"/>
              <w:jc w:val="both"/>
              <w:rPr>
                <w:sz w:val="20"/>
                <w:szCs w:val="20"/>
              </w:rPr>
            </w:pPr>
            <w:r w:rsidRPr="00457862">
              <w:rPr>
                <w:sz w:val="20"/>
                <w:szCs w:val="20"/>
              </w:rPr>
              <w:t>1.</w:t>
            </w:r>
          </w:p>
        </w:tc>
        <w:tc>
          <w:tcPr>
            <w:tcW w:w="1560" w:type="dxa"/>
            <w:vMerge w:val="restart"/>
          </w:tcPr>
          <w:p w:rsidR="00BB6E2D" w:rsidRPr="00457862" w:rsidRDefault="00BB6E2D" w:rsidP="001843B2">
            <w:pPr>
              <w:pStyle w:val="Akapitzlist"/>
              <w:ind w:left="0"/>
              <w:jc w:val="center"/>
              <w:rPr>
                <w:sz w:val="20"/>
                <w:szCs w:val="20"/>
              </w:rPr>
            </w:pPr>
          </w:p>
          <w:p w:rsidR="00BB6E2D" w:rsidRPr="00457862" w:rsidRDefault="00BB6E2D" w:rsidP="001843B2">
            <w:pPr>
              <w:pStyle w:val="Akapitzlist"/>
              <w:ind w:left="0"/>
              <w:jc w:val="center"/>
              <w:rPr>
                <w:sz w:val="20"/>
                <w:szCs w:val="20"/>
              </w:rPr>
            </w:pPr>
          </w:p>
          <w:p w:rsidR="00BB6E2D" w:rsidRPr="00457862" w:rsidRDefault="00BB6E2D" w:rsidP="001843B2">
            <w:pPr>
              <w:pStyle w:val="Akapitzlist"/>
              <w:ind w:left="0"/>
              <w:jc w:val="center"/>
              <w:rPr>
                <w:sz w:val="20"/>
                <w:szCs w:val="20"/>
              </w:rPr>
            </w:pPr>
          </w:p>
          <w:p w:rsidR="00BB6E2D" w:rsidRPr="00457862" w:rsidRDefault="00BB6E2D" w:rsidP="00674257">
            <w:pPr>
              <w:pStyle w:val="Akapitzlist"/>
              <w:ind w:left="0"/>
              <w:rPr>
                <w:sz w:val="20"/>
                <w:szCs w:val="20"/>
              </w:rPr>
            </w:pPr>
            <w:r w:rsidRPr="00457862">
              <w:rPr>
                <w:sz w:val="20"/>
                <w:szCs w:val="20"/>
              </w:rPr>
              <w:t>Kierownik jednostki organizacyjnej</w:t>
            </w:r>
          </w:p>
        </w:tc>
        <w:tc>
          <w:tcPr>
            <w:tcW w:w="3543" w:type="dxa"/>
          </w:tcPr>
          <w:p w:rsidR="00BB6E2D" w:rsidRPr="00457862" w:rsidRDefault="00CE5950" w:rsidP="00035951">
            <w:pPr>
              <w:pStyle w:val="Akapitzlist"/>
              <w:ind w:left="0"/>
              <w:jc w:val="both"/>
              <w:rPr>
                <w:sz w:val="20"/>
                <w:szCs w:val="20"/>
              </w:rPr>
            </w:pPr>
            <w:r w:rsidRPr="00457862">
              <w:rPr>
                <w:sz w:val="20"/>
                <w:szCs w:val="20"/>
              </w:rPr>
              <w:t>Zagłoszenie usterki do naprawy serwisowej według załączonego wzoru drogą elektroniczną na adres:</w:t>
            </w:r>
            <w:r w:rsidRPr="00457862">
              <w:rPr>
                <w:rFonts w:cs="Calibri"/>
                <w:sz w:val="20"/>
                <w:szCs w:val="20"/>
              </w:rPr>
              <w:t xml:space="preserve"> </w:t>
            </w:r>
            <w:hyperlink r:id="rId8" w:history="1">
              <w:r w:rsidRPr="00457862">
                <w:rPr>
                  <w:rStyle w:val="Hipercze"/>
                  <w:rFonts w:cs="Calibri"/>
                  <w:sz w:val="20"/>
                  <w:szCs w:val="20"/>
                </w:rPr>
                <w:t>serwis@zsk.pl</w:t>
              </w:r>
            </w:hyperlink>
            <w:r w:rsidRPr="00457862">
              <w:rPr>
                <w:sz w:val="20"/>
                <w:szCs w:val="20"/>
              </w:rPr>
              <w:t xml:space="preserve"> oraz </w:t>
            </w:r>
            <w:r w:rsidRPr="00457862">
              <w:rPr>
                <w:rFonts w:cs="Calibri"/>
                <w:sz w:val="20"/>
                <w:szCs w:val="20"/>
              </w:rPr>
              <w:t>faksem pod numer</w:t>
            </w:r>
            <w:r w:rsidRPr="00457862">
              <w:rPr>
                <w:sz w:val="20"/>
                <w:szCs w:val="20"/>
              </w:rPr>
              <w:t xml:space="preserve"> </w:t>
            </w:r>
            <w:r w:rsidR="00035951" w:rsidRPr="00457862">
              <w:rPr>
                <w:rFonts w:cs="Calibri"/>
                <w:sz w:val="20"/>
                <w:szCs w:val="20"/>
              </w:rPr>
              <w:t>012/</w:t>
            </w:r>
            <w:r w:rsidRPr="00457862">
              <w:rPr>
                <w:rFonts w:cs="Calibri"/>
                <w:sz w:val="20"/>
                <w:szCs w:val="20"/>
              </w:rPr>
              <w:t xml:space="preserve">269-27-20 lub </w:t>
            </w:r>
            <w:r w:rsidRPr="00457862">
              <w:rPr>
                <w:sz w:val="20"/>
                <w:szCs w:val="20"/>
              </w:rPr>
              <w:t xml:space="preserve">telefonicznie pod numer </w:t>
            </w:r>
            <w:r w:rsidRPr="00457862">
              <w:rPr>
                <w:rFonts w:cs="Calibri"/>
                <w:sz w:val="20"/>
                <w:szCs w:val="20"/>
              </w:rPr>
              <w:t>012</w:t>
            </w:r>
            <w:r w:rsidR="00035951" w:rsidRPr="00457862">
              <w:rPr>
                <w:rFonts w:cs="Calibri"/>
                <w:sz w:val="20"/>
                <w:szCs w:val="20"/>
              </w:rPr>
              <w:t>/</w:t>
            </w:r>
            <w:r w:rsidRPr="00457862">
              <w:rPr>
                <w:rFonts w:cs="Calibri"/>
                <w:sz w:val="20"/>
                <w:szCs w:val="20"/>
              </w:rPr>
              <w:t xml:space="preserve">254-67-30, </w:t>
            </w:r>
            <w:r w:rsidR="00BB6E2D" w:rsidRPr="00457862">
              <w:rPr>
                <w:sz w:val="20"/>
                <w:szCs w:val="20"/>
              </w:rPr>
              <w:t>zgodnie z zasięgiem terytorialnym obsługiwanym przez firmę ZSK Sp. z o.o. tj. województwa: Dolnośląskie, Lubuskie, Łódzkie, Opolskie, Pomorskie, Śląskie, Wielkopolskie, Zachodniopomorskie. Naprawa musi spełniać wymogi zawarte w § 6 umowy nr 2010/  CPI/</w:t>
            </w:r>
            <w:r w:rsidR="00035951" w:rsidRPr="00457862">
              <w:rPr>
                <w:sz w:val="20"/>
                <w:szCs w:val="20"/>
              </w:rPr>
              <w:t>109</w:t>
            </w:r>
            <w:r w:rsidR="00BB6E2D" w:rsidRPr="00457862">
              <w:rPr>
                <w:sz w:val="20"/>
                <w:szCs w:val="20"/>
              </w:rPr>
              <w:t xml:space="preserve">/ZSK   z dnia </w:t>
            </w:r>
            <w:r w:rsidR="00035951" w:rsidRPr="00457862">
              <w:rPr>
                <w:sz w:val="20"/>
                <w:szCs w:val="20"/>
              </w:rPr>
              <w:t>20.10</w:t>
            </w:r>
            <w:r w:rsidR="00BB6E2D" w:rsidRPr="00457862">
              <w:rPr>
                <w:sz w:val="20"/>
                <w:szCs w:val="20"/>
              </w:rPr>
              <w:t>.2010 r.</w:t>
            </w:r>
          </w:p>
        </w:tc>
        <w:tc>
          <w:tcPr>
            <w:tcW w:w="1418" w:type="dxa"/>
          </w:tcPr>
          <w:p w:rsidR="00BB6E2D" w:rsidRPr="00457862" w:rsidRDefault="00BB6E2D" w:rsidP="00A26AA5">
            <w:pPr>
              <w:pStyle w:val="Akapitzlist"/>
              <w:ind w:left="0"/>
              <w:jc w:val="center"/>
              <w:rPr>
                <w:sz w:val="20"/>
                <w:szCs w:val="20"/>
              </w:rPr>
            </w:pPr>
            <w:r w:rsidRPr="00457862">
              <w:rPr>
                <w:sz w:val="20"/>
                <w:szCs w:val="20"/>
              </w:rPr>
              <w:t>niezwłocznie</w:t>
            </w:r>
          </w:p>
          <w:p w:rsidR="00BB6E2D" w:rsidRPr="00457862" w:rsidRDefault="00BB6E2D" w:rsidP="00A26AA5">
            <w:pPr>
              <w:jc w:val="center"/>
              <w:rPr>
                <w:sz w:val="20"/>
                <w:szCs w:val="20"/>
              </w:rPr>
            </w:pPr>
          </w:p>
        </w:tc>
        <w:tc>
          <w:tcPr>
            <w:tcW w:w="1524" w:type="dxa"/>
          </w:tcPr>
          <w:p w:rsidR="00BB6E2D" w:rsidRPr="00457862" w:rsidRDefault="00BB6E2D" w:rsidP="00BB6E2D">
            <w:pPr>
              <w:pStyle w:val="Akapitzlist"/>
              <w:ind w:left="0"/>
              <w:jc w:val="both"/>
              <w:rPr>
                <w:sz w:val="20"/>
                <w:szCs w:val="20"/>
              </w:rPr>
            </w:pPr>
            <w:r w:rsidRPr="00457862">
              <w:rPr>
                <w:sz w:val="20"/>
                <w:szCs w:val="20"/>
              </w:rPr>
              <w:t>Przedstawiciel serwisu  ZSK Sp. z o.o.</w:t>
            </w:r>
          </w:p>
        </w:tc>
      </w:tr>
      <w:tr w:rsidR="00CE5950" w:rsidRPr="00457862" w:rsidTr="00035951">
        <w:trPr>
          <w:trHeight w:val="406"/>
        </w:trPr>
        <w:tc>
          <w:tcPr>
            <w:tcW w:w="522" w:type="dxa"/>
            <w:vMerge/>
          </w:tcPr>
          <w:p w:rsidR="00CE5950" w:rsidRPr="00457862" w:rsidRDefault="00CE5950" w:rsidP="0060170C">
            <w:pPr>
              <w:pStyle w:val="Akapitzlist"/>
              <w:ind w:left="0"/>
              <w:jc w:val="both"/>
              <w:rPr>
                <w:sz w:val="20"/>
                <w:szCs w:val="20"/>
              </w:rPr>
            </w:pPr>
          </w:p>
        </w:tc>
        <w:tc>
          <w:tcPr>
            <w:tcW w:w="1560" w:type="dxa"/>
            <w:vMerge/>
          </w:tcPr>
          <w:p w:rsidR="00CE5950" w:rsidRPr="00457862" w:rsidRDefault="00CE5950" w:rsidP="0060170C">
            <w:pPr>
              <w:pStyle w:val="Akapitzlist"/>
              <w:ind w:left="0"/>
              <w:jc w:val="both"/>
              <w:rPr>
                <w:sz w:val="20"/>
                <w:szCs w:val="20"/>
              </w:rPr>
            </w:pPr>
          </w:p>
        </w:tc>
        <w:tc>
          <w:tcPr>
            <w:tcW w:w="3543" w:type="dxa"/>
          </w:tcPr>
          <w:p w:rsidR="00CE5950" w:rsidRPr="00457862" w:rsidRDefault="00CE5950" w:rsidP="00035951">
            <w:pPr>
              <w:jc w:val="both"/>
              <w:rPr>
                <w:sz w:val="20"/>
                <w:szCs w:val="20"/>
              </w:rPr>
            </w:pPr>
            <w:r w:rsidRPr="00457862">
              <w:rPr>
                <w:sz w:val="20"/>
                <w:szCs w:val="20"/>
              </w:rPr>
              <w:t xml:space="preserve">Przekazanie kopii zagłoszenia usterki do naprawy serwisowej drogą  elektroniczną na adres: </w:t>
            </w:r>
            <w:hyperlink r:id="rId9" w:history="1">
              <w:r w:rsidR="00CA304E" w:rsidRPr="00737B29">
                <w:rPr>
                  <w:rStyle w:val="Hipercze"/>
                  <w:sz w:val="20"/>
                  <w:szCs w:val="20"/>
                </w:rPr>
                <w:t>andrzej.wisniewski@cpi.gov.pl</w:t>
              </w:r>
            </w:hyperlink>
            <w:r w:rsidRPr="00457862">
              <w:rPr>
                <w:color w:val="739ABC"/>
                <w:sz w:val="20"/>
                <w:szCs w:val="20"/>
              </w:rPr>
              <w:t xml:space="preserve"> </w:t>
            </w:r>
            <w:r w:rsidRPr="00457862">
              <w:rPr>
                <w:sz w:val="20"/>
                <w:szCs w:val="20"/>
              </w:rPr>
              <w:t>lub pisemną na adres korespondencyjny.</w:t>
            </w:r>
          </w:p>
        </w:tc>
        <w:tc>
          <w:tcPr>
            <w:tcW w:w="1418" w:type="dxa"/>
          </w:tcPr>
          <w:p w:rsidR="00CE5950" w:rsidRPr="00457862" w:rsidRDefault="00CE5950" w:rsidP="00A26AA5">
            <w:pPr>
              <w:jc w:val="center"/>
              <w:rPr>
                <w:sz w:val="20"/>
                <w:szCs w:val="20"/>
              </w:rPr>
            </w:pPr>
            <w:r w:rsidRPr="00457862">
              <w:rPr>
                <w:sz w:val="20"/>
                <w:szCs w:val="20"/>
              </w:rPr>
              <w:t>niezwłocznie</w:t>
            </w:r>
          </w:p>
        </w:tc>
        <w:tc>
          <w:tcPr>
            <w:tcW w:w="1524" w:type="dxa"/>
          </w:tcPr>
          <w:p w:rsidR="00CE5950" w:rsidRPr="00457862" w:rsidRDefault="00CE5950" w:rsidP="00CA304E">
            <w:pPr>
              <w:pStyle w:val="Akapitzlist"/>
              <w:ind w:left="0"/>
              <w:jc w:val="both"/>
              <w:rPr>
                <w:sz w:val="20"/>
                <w:szCs w:val="20"/>
              </w:rPr>
            </w:pPr>
            <w:r w:rsidRPr="00457862">
              <w:rPr>
                <w:sz w:val="20"/>
                <w:szCs w:val="20"/>
              </w:rPr>
              <w:t xml:space="preserve">Osoba upoważniona w CPI </w:t>
            </w:r>
          </w:p>
        </w:tc>
      </w:tr>
      <w:tr w:rsidR="00CE5950" w:rsidRPr="00457862" w:rsidTr="00035951">
        <w:trPr>
          <w:trHeight w:val="740"/>
        </w:trPr>
        <w:tc>
          <w:tcPr>
            <w:tcW w:w="522" w:type="dxa"/>
          </w:tcPr>
          <w:p w:rsidR="00CE5950" w:rsidRPr="00457862" w:rsidRDefault="00CE5950" w:rsidP="0060170C">
            <w:pPr>
              <w:pStyle w:val="Akapitzlist"/>
              <w:ind w:left="0"/>
              <w:jc w:val="both"/>
              <w:rPr>
                <w:sz w:val="20"/>
                <w:szCs w:val="20"/>
              </w:rPr>
            </w:pPr>
            <w:r w:rsidRPr="00457862">
              <w:rPr>
                <w:sz w:val="20"/>
                <w:szCs w:val="20"/>
              </w:rPr>
              <w:t>2.</w:t>
            </w:r>
          </w:p>
        </w:tc>
        <w:tc>
          <w:tcPr>
            <w:tcW w:w="1560" w:type="dxa"/>
          </w:tcPr>
          <w:p w:rsidR="00CE5950" w:rsidRPr="00457862" w:rsidRDefault="00CE5950" w:rsidP="0060170C">
            <w:pPr>
              <w:pStyle w:val="Akapitzlist"/>
              <w:ind w:left="0"/>
              <w:jc w:val="both"/>
              <w:rPr>
                <w:sz w:val="20"/>
                <w:szCs w:val="20"/>
              </w:rPr>
            </w:pPr>
            <w:r w:rsidRPr="00457862">
              <w:rPr>
                <w:sz w:val="20"/>
                <w:szCs w:val="20"/>
              </w:rPr>
              <w:t>Kierownik jednostki organizacyjnej</w:t>
            </w:r>
          </w:p>
        </w:tc>
        <w:tc>
          <w:tcPr>
            <w:tcW w:w="3543" w:type="dxa"/>
          </w:tcPr>
          <w:p w:rsidR="00CE5950" w:rsidRPr="00457862" w:rsidRDefault="00CE5950" w:rsidP="00D608A6">
            <w:pPr>
              <w:pStyle w:val="Akapitzlist"/>
              <w:ind w:left="0"/>
              <w:jc w:val="both"/>
              <w:rPr>
                <w:sz w:val="20"/>
                <w:szCs w:val="20"/>
              </w:rPr>
            </w:pPr>
            <w:r w:rsidRPr="00457862">
              <w:rPr>
                <w:sz w:val="20"/>
                <w:szCs w:val="20"/>
              </w:rPr>
              <w:t xml:space="preserve">W przypadku wymiany elektronicznego sprzętu w ramach gwarancji  jednostka organizacyjna powinna przekazać drogą elektroniczną na adres : </w:t>
            </w:r>
            <w:hyperlink r:id="rId10" w:history="1">
              <w:r w:rsidR="00CA304E" w:rsidRPr="00737B29">
                <w:rPr>
                  <w:rStyle w:val="Hipercze"/>
                  <w:sz w:val="20"/>
                  <w:szCs w:val="20"/>
                </w:rPr>
                <w:t>andrzej.wisniewski@cpi.gov.pl</w:t>
              </w:r>
            </w:hyperlink>
            <w:r w:rsidRPr="00457862">
              <w:rPr>
                <w:color w:val="739ABC"/>
                <w:sz w:val="20"/>
                <w:szCs w:val="20"/>
              </w:rPr>
              <w:t xml:space="preserve"> </w:t>
            </w:r>
            <w:r w:rsidRPr="00457862">
              <w:rPr>
                <w:sz w:val="20"/>
                <w:szCs w:val="20"/>
              </w:rPr>
              <w:t>lub pisemną na adres korespondencyjny nowy numer fabryczny otrzymanego sprzętu.</w:t>
            </w:r>
          </w:p>
        </w:tc>
        <w:tc>
          <w:tcPr>
            <w:tcW w:w="1418" w:type="dxa"/>
          </w:tcPr>
          <w:p w:rsidR="00CE5950" w:rsidRPr="00457862" w:rsidRDefault="00CE5950" w:rsidP="00A26AA5">
            <w:pPr>
              <w:pStyle w:val="Akapitzlist"/>
              <w:ind w:left="0"/>
              <w:jc w:val="center"/>
              <w:rPr>
                <w:sz w:val="20"/>
                <w:szCs w:val="20"/>
              </w:rPr>
            </w:pPr>
            <w:r w:rsidRPr="00457862">
              <w:rPr>
                <w:sz w:val="20"/>
                <w:szCs w:val="20"/>
              </w:rPr>
              <w:t>niezwłocznie</w:t>
            </w:r>
          </w:p>
        </w:tc>
        <w:tc>
          <w:tcPr>
            <w:tcW w:w="1524" w:type="dxa"/>
          </w:tcPr>
          <w:p w:rsidR="00CE5950" w:rsidRPr="00457862" w:rsidRDefault="00CE5950" w:rsidP="00CA304E">
            <w:pPr>
              <w:pStyle w:val="Akapitzlist"/>
              <w:ind w:left="0"/>
              <w:jc w:val="both"/>
              <w:rPr>
                <w:sz w:val="20"/>
                <w:szCs w:val="20"/>
              </w:rPr>
            </w:pPr>
            <w:r w:rsidRPr="00457862">
              <w:rPr>
                <w:sz w:val="20"/>
                <w:szCs w:val="20"/>
              </w:rPr>
              <w:t xml:space="preserve">Osoba upoważniona w CPI </w:t>
            </w:r>
          </w:p>
        </w:tc>
      </w:tr>
      <w:tr w:rsidR="00CE5950" w:rsidRPr="00457862" w:rsidTr="00035951">
        <w:trPr>
          <w:trHeight w:val="425"/>
        </w:trPr>
        <w:tc>
          <w:tcPr>
            <w:tcW w:w="522" w:type="dxa"/>
          </w:tcPr>
          <w:p w:rsidR="00CE5950" w:rsidRPr="00457862" w:rsidRDefault="00CE5950" w:rsidP="0060170C">
            <w:pPr>
              <w:pStyle w:val="Akapitzlist"/>
              <w:ind w:left="0"/>
              <w:jc w:val="both"/>
              <w:rPr>
                <w:sz w:val="20"/>
                <w:szCs w:val="20"/>
              </w:rPr>
            </w:pPr>
            <w:r w:rsidRPr="00457862">
              <w:rPr>
                <w:sz w:val="20"/>
                <w:szCs w:val="20"/>
              </w:rPr>
              <w:t>3.</w:t>
            </w:r>
          </w:p>
        </w:tc>
        <w:tc>
          <w:tcPr>
            <w:tcW w:w="1560" w:type="dxa"/>
          </w:tcPr>
          <w:p w:rsidR="00CE5950" w:rsidRPr="00457862" w:rsidRDefault="00CE5950" w:rsidP="0060170C">
            <w:pPr>
              <w:pStyle w:val="Akapitzlist"/>
              <w:ind w:left="0"/>
              <w:jc w:val="both"/>
              <w:rPr>
                <w:sz w:val="20"/>
                <w:szCs w:val="20"/>
              </w:rPr>
            </w:pPr>
            <w:r w:rsidRPr="00457862">
              <w:rPr>
                <w:sz w:val="20"/>
                <w:szCs w:val="20"/>
              </w:rPr>
              <w:t>Kierownik jednostki organizacyjnej</w:t>
            </w:r>
          </w:p>
        </w:tc>
        <w:tc>
          <w:tcPr>
            <w:tcW w:w="3543" w:type="dxa"/>
          </w:tcPr>
          <w:p w:rsidR="00CE5950" w:rsidRPr="00457862" w:rsidRDefault="00CE5950" w:rsidP="00D608A6">
            <w:pPr>
              <w:jc w:val="both"/>
              <w:rPr>
                <w:sz w:val="20"/>
                <w:szCs w:val="20"/>
              </w:rPr>
            </w:pPr>
            <w:r w:rsidRPr="00457862">
              <w:rPr>
                <w:sz w:val="20"/>
                <w:szCs w:val="20"/>
              </w:rPr>
              <w:t xml:space="preserve">Powiadomienie drogą elektroniczną na adres: </w:t>
            </w:r>
            <w:hyperlink r:id="rId11" w:history="1">
              <w:r w:rsidR="00CA304E" w:rsidRPr="00737B29">
                <w:rPr>
                  <w:rStyle w:val="Hipercze"/>
                  <w:sz w:val="20"/>
                  <w:szCs w:val="20"/>
                </w:rPr>
                <w:t>andrzej.wisniewski@cpi.gov.pl</w:t>
              </w:r>
            </w:hyperlink>
            <w:r w:rsidRPr="00457862">
              <w:rPr>
                <w:color w:val="739ABC"/>
                <w:sz w:val="20"/>
                <w:szCs w:val="20"/>
              </w:rPr>
              <w:t xml:space="preserve"> </w:t>
            </w:r>
            <w:r w:rsidRPr="00457862">
              <w:rPr>
                <w:sz w:val="20"/>
                <w:szCs w:val="20"/>
              </w:rPr>
              <w:t>lub pisemną na adres korespondencyjny o zwrocie z serwisu naprawionego sprzętu elektronicznego w ramach gwarancji.</w:t>
            </w:r>
          </w:p>
        </w:tc>
        <w:tc>
          <w:tcPr>
            <w:tcW w:w="1418" w:type="dxa"/>
          </w:tcPr>
          <w:p w:rsidR="00CE5950" w:rsidRPr="00457862" w:rsidRDefault="00CE5950" w:rsidP="00FE6E6E">
            <w:pPr>
              <w:jc w:val="center"/>
              <w:rPr>
                <w:sz w:val="20"/>
                <w:szCs w:val="20"/>
              </w:rPr>
            </w:pPr>
            <w:r w:rsidRPr="00457862">
              <w:rPr>
                <w:sz w:val="20"/>
                <w:szCs w:val="20"/>
              </w:rPr>
              <w:t>niezwłocznie</w:t>
            </w:r>
          </w:p>
        </w:tc>
        <w:tc>
          <w:tcPr>
            <w:tcW w:w="1524" w:type="dxa"/>
          </w:tcPr>
          <w:p w:rsidR="00CE5950" w:rsidRPr="00457862" w:rsidRDefault="00CE5950" w:rsidP="00CA304E">
            <w:pPr>
              <w:pStyle w:val="Akapitzlist"/>
              <w:ind w:left="0"/>
              <w:jc w:val="both"/>
              <w:rPr>
                <w:sz w:val="20"/>
                <w:szCs w:val="20"/>
              </w:rPr>
            </w:pPr>
            <w:r w:rsidRPr="00457862">
              <w:rPr>
                <w:sz w:val="20"/>
                <w:szCs w:val="20"/>
              </w:rPr>
              <w:t xml:space="preserve">Osoba upoważniona w CPI </w:t>
            </w:r>
          </w:p>
        </w:tc>
      </w:tr>
    </w:tbl>
    <w:p w:rsidR="00051059" w:rsidRDefault="00051059"/>
    <w:sectPr w:rsidR="00051059" w:rsidSect="0005105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8E" w:rsidRDefault="0034178E" w:rsidP="00B57EC9">
      <w:pPr>
        <w:spacing w:after="0" w:line="240" w:lineRule="auto"/>
      </w:pPr>
      <w:r>
        <w:separator/>
      </w:r>
    </w:p>
  </w:endnote>
  <w:endnote w:type="continuationSeparator" w:id="0">
    <w:p w:rsidR="0034178E" w:rsidRDefault="0034178E" w:rsidP="00B57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84549"/>
      <w:docPartObj>
        <w:docPartGallery w:val="Page Numbers (Bottom of Page)"/>
        <w:docPartUnique/>
      </w:docPartObj>
    </w:sdtPr>
    <w:sdtContent>
      <w:p w:rsidR="00C14B6D" w:rsidRDefault="00357691">
        <w:pPr>
          <w:pStyle w:val="Stopka"/>
          <w:jc w:val="center"/>
        </w:pPr>
        <w:fldSimple w:instr=" PAGE   \* MERGEFORMAT ">
          <w:r w:rsidR="00CA304E">
            <w:rPr>
              <w:noProof/>
            </w:rPr>
            <w:t>1</w:t>
          </w:r>
        </w:fldSimple>
      </w:p>
    </w:sdtContent>
  </w:sdt>
  <w:p w:rsidR="00C14B6D" w:rsidRDefault="00C14B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8E" w:rsidRDefault="0034178E" w:rsidP="00B57EC9">
      <w:pPr>
        <w:spacing w:after="0" w:line="240" w:lineRule="auto"/>
      </w:pPr>
      <w:r>
        <w:separator/>
      </w:r>
    </w:p>
  </w:footnote>
  <w:footnote w:type="continuationSeparator" w:id="0">
    <w:p w:rsidR="0034178E" w:rsidRDefault="0034178E" w:rsidP="00B57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88C"/>
    <w:multiLevelType w:val="hybridMultilevel"/>
    <w:tmpl w:val="B2BEC82C"/>
    <w:lvl w:ilvl="0" w:tplc="EB5A88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3F2011"/>
    <w:multiLevelType w:val="hybridMultilevel"/>
    <w:tmpl w:val="251E4454"/>
    <w:lvl w:ilvl="0" w:tplc="0415000F">
      <w:start w:val="3"/>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733CEB"/>
    <w:multiLevelType w:val="singleLevel"/>
    <w:tmpl w:val="E8C43196"/>
    <w:lvl w:ilvl="0">
      <w:start w:val="1"/>
      <w:numFmt w:val="decimal"/>
      <w:lvlText w:val="%1."/>
      <w:lvlJc w:val="left"/>
      <w:pPr>
        <w:tabs>
          <w:tab w:val="num" w:pos="360"/>
        </w:tabs>
        <w:ind w:left="360" w:hanging="360"/>
      </w:pPr>
      <w:rPr>
        <w:rFonts w:ascii="Calibri" w:eastAsia="Times New Roman" w:hAnsi="Calibri" w:cs="Arial" w:hint="default"/>
      </w:rPr>
    </w:lvl>
  </w:abstractNum>
  <w:abstractNum w:abstractNumId="3">
    <w:nsid w:val="46393AB6"/>
    <w:multiLevelType w:val="hybridMultilevel"/>
    <w:tmpl w:val="1BA4AA4C"/>
    <w:lvl w:ilvl="0" w:tplc="D8E0903C">
      <w:start w:val="1"/>
      <w:numFmt w:val="lowerLetter"/>
      <w:lvlText w:val="%1."/>
      <w:lvlJc w:val="left"/>
      <w:pPr>
        <w:tabs>
          <w:tab w:val="num" w:pos="750"/>
        </w:tabs>
        <w:ind w:left="750" w:hanging="390"/>
      </w:pPr>
      <w:rPr>
        <w:rFonts w:asciiTheme="minorHAnsi" w:eastAsiaTheme="minorEastAsia" w:hAnsiTheme="minorHAnsi"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88652E3"/>
    <w:multiLevelType w:val="hybridMultilevel"/>
    <w:tmpl w:val="D598CA3C"/>
    <w:lvl w:ilvl="0" w:tplc="EF4AB1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6D138E4"/>
    <w:multiLevelType w:val="hybridMultilevel"/>
    <w:tmpl w:val="D41EFDE2"/>
    <w:lvl w:ilvl="0" w:tplc="4BF20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7EC9"/>
    <w:rsid w:val="00004301"/>
    <w:rsid w:val="00032E43"/>
    <w:rsid w:val="00035951"/>
    <w:rsid w:val="00051059"/>
    <w:rsid w:val="00054657"/>
    <w:rsid w:val="000B1120"/>
    <w:rsid w:val="000C1AA5"/>
    <w:rsid w:val="00135290"/>
    <w:rsid w:val="0015551F"/>
    <w:rsid w:val="001843B2"/>
    <w:rsid w:val="00216F79"/>
    <w:rsid w:val="00251815"/>
    <w:rsid w:val="00292114"/>
    <w:rsid w:val="002B37A8"/>
    <w:rsid w:val="002C642E"/>
    <w:rsid w:val="002D0ADD"/>
    <w:rsid w:val="002E74AA"/>
    <w:rsid w:val="00317512"/>
    <w:rsid w:val="0034178E"/>
    <w:rsid w:val="0034185F"/>
    <w:rsid w:val="00357691"/>
    <w:rsid w:val="00360DCD"/>
    <w:rsid w:val="00457862"/>
    <w:rsid w:val="00471229"/>
    <w:rsid w:val="00483E8E"/>
    <w:rsid w:val="004A2285"/>
    <w:rsid w:val="004D2236"/>
    <w:rsid w:val="004E5B3C"/>
    <w:rsid w:val="004F2231"/>
    <w:rsid w:val="00587C6B"/>
    <w:rsid w:val="005D6B10"/>
    <w:rsid w:val="005F7DD0"/>
    <w:rsid w:val="0060170C"/>
    <w:rsid w:val="00611796"/>
    <w:rsid w:val="0062151C"/>
    <w:rsid w:val="00665C0E"/>
    <w:rsid w:val="00674001"/>
    <w:rsid w:val="00674257"/>
    <w:rsid w:val="006B36CA"/>
    <w:rsid w:val="006B5544"/>
    <w:rsid w:val="00730732"/>
    <w:rsid w:val="007C1DD2"/>
    <w:rsid w:val="008A49FB"/>
    <w:rsid w:val="008D1A24"/>
    <w:rsid w:val="009311B1"/>
    <w:rsid w:val="00980A87"/>
    <w:rsid w:val="00A26AA5"/>
    <w:rsid w:val="00A34BF1"/>
    <w:rsid w:val="00A34F05"/>
    <w:rsid w:val="00A95100"/>
    <w:rsid w:val="00AC2C45"/>
    <w:rsid w:val="00AE1FC5"/>
    <w:rsid w:val="00B501AF"/>
    <w:rsid w:val="00B57EC9"/>
    <w:rsid w:val="00BB6E2D"/>
    <w:rsid w:val="00C14B6D"/>
    <w:rsid w:val="00C4565E"/>
    <w:rsid w:val="00C862DE"/>
    <w:rsid w:val="00C9128C"/>
    <w:rsid w:val="00CA304E"/>
    <w:rsid w:val="00CD532C"/>
    <w:rsid w:val="00CE0B76"/>
    <w:rsid w:val="00CE5950"/>
    <w:rsid w:val="00D256FC"/>
    <w:rsid w:val="00DB6D43"/>
    <w:rsid w:val="00DB720A"/>
    <w:rsid w:val="00E01447"/>
    <w:rsid w:val="00E420F5"/>
    <w:rsid w:val="00E92200"/>
    <w:rsid w:val="00ED6C8C"/>
    <w:rsid w:val="00F74603"/>
    <w:rsid w:val="00FB4762"/>
    <w:rsid w:val="00FC06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EC9"/>
    <w:rPr>
      <w:rFonts w:eastAsiaTheme="minorEastAsia"/>
      <w:lang w:eastAsia="pl-PL"/>
    </w:rPr>
  </w:style>
  <w:style w:type="paragraph" w:styleId="Nagwek1">
    <w:name w:val="heading 1"/>
    <w:basedOn w:val="Normalny"/>
    <w:next w:val="Normalny"/>
    <w:link w:val="Nagwek1Znak"/>
    <w:uiPriority w:val="9"/>
    <w:qFormat/>
    <w:rsid w:val="00483E8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qFormat/>
    <w:rsid w:val="00483E8E"/>
    <w:pPr>
      <w:keepNext/>
      <w:spacing w:after="0" w:line="240" w:lineRule="auto"/>
      <w:jc w:val="both"/>
      <w:outlineLvl w:val="1"/>
    </w:pPr>
    <w:rPr>
      <w:rFonts w:ascii="Times New Roman" w:eastAsia="Times New Roman" w:hAnsi="Times New Roman" w:cs="Times New Roman"/>
      <w:b/>
      <w:bCs/>
      <w:iCs/>
      <w:sz w:val="26"/>
      <w:szCs w:val="28"/>
    </w:rPr>
  </w:style>
  <w:style w:type="paragraph" w:styleId="Nagwek5">
    <w:name w:val="heading 5"/>
    <w:basedOn w:val="Normalny"/>
    <w:next w:val="Normalny"/>
    <w:link w:val="Nagwek5Znak"/>
    <w:qFormat/>
    <w:rsid w:val="00483E8E"/>
    <w:pPr>
      <w:keepNext/>
      <w:spacing w:after="0" w:line="240" w:lineRule="auto"/>
      <w:ind w:right="-108"/>
      <w:jc w:val="center"/>
      <w:outlineLvl w:val="4"/>
    </w:pPr>
    <w:rPr>
      <w:rFonts w:ascii="Times New Roman" w:eastAsia="Times New Roman" w:hAnsi="Times New Roman" w:cs="Times New Roman"/>
      <w:b/>
      <w:bCs/>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7EC9"/>
    <w:pPr>
      <w:ind w:left="720"/>
      <w:contextualSpacing/>
    </w:pPr>
  </w:style>
  <w:style w:type="table" w:styleId="Tabela-Siatka">
    <w:name w:val="Table Grid"/>
    <w:basedOn w:val="Standardowy"/>
    <w:uiPriority w:val="59"/>
    <w:rsid w:val="00B57EC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57E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7EC9"/>
    <w:rPr>
      <w:rFonts w:eastAsiaTheme="minorEastAsia"/>
      <w:lang w:eastAsia="pl-PL"/>
    </w:rPr>
  </w:style>
  <w:style w:type="paragraph" w:styleId="Stopka">
    <w:name w:val="footer"/>
    <w:basedOn w:val="Normalny"/>
    <w:link w:val="StopkaZnak"/>
    <w:uiPriority w:val="99"/>
    <w:unhideWhenUsed/>
    <w:rsid w:val="00B57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EC9"/>
    <w:rPr>
      <w:rFonts w:eastAsiaTheme="minorEastAsia"/>
      <w:lang w:eastAsia="pl-PL"/>
    </w:rPr>
  </w:style>
  <w:style w:type="character" w:styleId="Hipercze">
    <w:name w:val="Hyperlink"/>
    <w:basedOn w:val="Domylnaczcionkaakapitu"/>
    <w:uiPriority w:val="99"/>
    <w:unhideWhenUsed/>
    <w:rsid w:val="0015551F"/>
    <w:rPr>
      <w:color w:val="0000FF" w:themeColor="hyperlink"/>
      <w:u w:val="single"/>
    </w:rPr>
  </w:style>
  <w:style w:type="character" w:customStyle="1" w:styleId="Nagwek1Znak">
    <w:name w:val="Nagłówek 1 Znak"/>
    <w:basedOn w:val="Domylnaczcionkaakapitu"/>
    <w:link w:val="Nagwek1"/>
    <w:uiPriority w:val="9"/>
    <w:rsid w:val="00483E8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483E8E"/>
    <w:rPr>
      <w:rFonts w:ascii="Times New Roman" w:eastAsia="Times New Roman" w:hAnsi="Times New Roman" w:cs="Times New Roman"/>
      <w:b/>
      <w:bCs/>
      <w:iCs/>
      <w:sz w:val="26"/>
      <w:szCs w:val="28"/>
      <w:lang w:eastAsia="pl-PL"/>
    </w:rPr>
  </w:style>
  <w:style w:type="character" w:customStyle="1" w:styleId="Nagwek5Znak">
    <w:name w:val="Nagłówek 5 Znak"/>
    <w:basedOn w:val="Domylnaczcionkaakapitu"/>
    <w:link w:val="Nagwek5"/>
    <w:rsid w:val="00483E8E"/>
    <w:rPr>
      <w:rFonts w:ascii="Times New Roman" w:eastAsia="Times New Roman"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z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wisniewski@cpi.gov.pl" TargetMode="External"/><Relationship Id="rId5" Type="http://schemas.openxmlformats.org/officeDocument/2006/relationships/webSettings" Target="webSettings.xml"/><Relationship Id="rId10" Type="http://schemas.openxmlformats.org/officeDocument/2006/relationships/hyperlink" Target="mailto:andrzej.wisniewski@cpi.gov.pl" TargetMode="External"/><Relationship Id="rId4" Type="http://schemas.openxmlformats.org/officeDocument/2006/relationships/settings" Target="settings.xml"/><Relationship Id="rId9" Type="http://schemas.openxmlformats.org/officeDocument/2006/relationships/hyperlink" Target="mailto:andrzej.wisniewski@cpi.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8002-8D77-44F2-98C2-B8690B03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4724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mswia_egawlowski</dc:creator>
  <cp:lastModifiedBy>mswia_dgasiorek</cp:lastModifiedBy>
  <cp:revision>2</cp:revision>
  <dcterms:created xsi:type="dcterms:W3CDTF">2012-01-11T14:37:00Z</dcterms:created>
  <dcterms:modified xsi:type="dcterms:W3CDTF">2012-01-11T14:37:00Z</dcterms:modified>
</cp:coreProperties>
</file>